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B0" w:rsidRPr="00CE43B0" w:rsidRDefault="00CE43B0" w:rsidP="00CE43B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B0" w:rsidRPr="00CE43B0" w:rsidRDefault="00CE43B0" w:rsidP="00CE43B0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Hüter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der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beiden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Heiligen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Moscheen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empfängt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Gäste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des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Nationalen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Festivals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für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Kulturerbe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und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Kultur</w:t>
      </w:r>
      <w:proofErr w:type="spellEnd"/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>RIAD, Saudi-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CE43B0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)--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Hüter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Heiligen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Moscheen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König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Salman bin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Al Saud,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empfing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gestern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Yamamah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Palast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Riad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Intellektuelle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Schriftsteller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Nationalen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33“.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Hüter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Heiligen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Moscheen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hielt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während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Empfangs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folgende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Rede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>: „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Liebe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liebe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Brüder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Frieden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Barmherzigkeit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Gottes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Segen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euch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begrüße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Königreich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Saudi-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33.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Nationalen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begrüße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Teilnahme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brüderlichen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Republik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Indonesien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Ehrengast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diesjährigen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Festivals.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Dieses Festival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zeigt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Königreichs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spiegelt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Vielfalt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Erbes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unserem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Land wider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trägt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Bewusstsein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jungen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Generationen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dieses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sowie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Förderung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globalen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kulturellen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Kommunikation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Anwesenheit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hier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Beweis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dafür</w:t>
      </w:r>
      <w:proofErr w:type="spellEnd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.“</w:t>
      </w:r>
      <w:proofErr w:type="gramEnd"/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Danach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diesjährig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geehrten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Persönlichkeit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von Dr. Samar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Bint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Jaber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Al-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Humoud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gehalten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Wertschätzung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Ehrung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ausdrückte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fortdauernder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Ansatz Saudi-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Arabiens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seine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Bürger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ermutigen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motivieren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würdigen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: „Das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Königreich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hat in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Söhne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Töchter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seiner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Einwohner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investiert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wertvolle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Anstrengungen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unternommen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Söhne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Töchter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dieses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Landes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allen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Bereichen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zahlreiche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Erfolge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erzielt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saudische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Präsenz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Meilenstein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vieler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regionaler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internationaler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Foren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auf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individueller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institutioneller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Ebene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geworden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allem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dank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Gott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uneingeschränkten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Unterstützung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Führung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gesegneten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Nation</w:t>
      </w:r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.“</w:t>
      </w:r>
      <w:proofErr w:type="gramEnd"/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Danach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hielt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Präsident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Verbandes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tunesischen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Schriftsteller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, Dr. Salah El-Din El-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Hammadi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Namen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Nationalen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: „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großzügige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Unterstützung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Festivals und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Empfang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Hüters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Heiligen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Moscheen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klarer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Beweis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dafür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Interesse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Geist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Priorität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Königreichs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Saudi-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lastRenderedPageBreak/>
        <w:t>Arabien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unsere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Anwesenheit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Land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Ausdruck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unserer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Anerkennung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dessen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sowie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Gunst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Schriftsteller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kreative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Denker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.“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fügte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hinzu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: „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Wir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sind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hierhergekommen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um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Ihnen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die Geschichte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durch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unsere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Teilnahme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feiern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Leitsatz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diesjährigen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Festivals ‚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Treue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Loyalität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‘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übernommen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was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zwei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wichtigsten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Werte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arabischer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Gesellschaften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sind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.“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>Al-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Hammadi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lobte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Haltung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Hüters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Heiligen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Moscheen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gegenüber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Gefahren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Nationen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bedrohen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sagte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: „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Ohne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Bestimmtheit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Entschlossenheit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sowie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Reaktion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auf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verschiedene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Verschwörungen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Länder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würden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Wölfe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unsere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Länder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angreifen</w:t>
      </w:r>
      <w:proofErr w:type="spellEnd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.“</w:t>
      </w:r>
      <w:proofErr w:type="gramEnd"/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Am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Ende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Empfangs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wurden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Nationalen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Festivals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Kulturerbe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Kultur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durch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einen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Händedruck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Hüter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beiden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Heiligen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Moscheen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geehrt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Quelle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CE43B0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"https://cts.businesswire.com/ct/CT?id=smartlink&amp;url=https%3A%2F%2Fwww.aetoswire.com%2Fnews%2F7722%2Fen&amp;esheet=51918501&amp;newsitemid=0&amp;lan=de-DE&amp;anchor=AETOSWire&amp;index=1&amp;md5=ac69437e4c13f0ef661828b2258539df" </w:instrText>
      </w:r>
      <w:r w:rsidRPr="00CE43B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CE43B0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CE43B0" w:rsidRPr="00CE43B0" w:rsidRDefault="00CE43B0" w:rsidP="00CE43B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Ausgangssprache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der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Originaltext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offizielle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autorisierte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Version.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besseren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Verständigung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mitgeliefert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Nur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rechtsgültig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Gleichen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deshalb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originalen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Veröffentlichung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ab.</w:t>
      </w:r>
    </w:p>
    <w:p w:rsidR="00CE43B0" w:rsidRPr="00CE43B0" w:rsidRDefault="00CE43B0" w:rsidP="00CE43B0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CE43B0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CE4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CE43B0">
        <w:rPr>
          <w:rFonts w:ascii="Arial" w:eastAsia="Times New Roman" w:hAnsi="Arial" w:cs="Arial"/>
          <w:color w:val="000000"/>
          <w:sz w:val="24"/>
          <w:szCs w:val="24"/>
        </w:rPr>
        <w:t>+971508228604</w:t>
      </w:r>
      <w:r w:rsidRPr="00CE43B0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CE43B0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E43B0" w:rsidRPr="00CE43B0" w:rsidRDefault="00CE43B0" w:rsidP="00CE43B0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CE43B0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CE43B0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CE43B0" w:rsidRPr="00CE43B0" w:rsidRDefault="00CE43B0" w:rsidP="00CE43B0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CE43B0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CE43B0" w:rsidRPr="00CE43B0" w:rsidRDefault="00CE43B0" w:rsidP="00CE43B0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E43B0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90575"/>
            <wp:effectExtent l="0" t="0" r="0" b="9525"/>
            <wp:docPr id="9" name="Picture 9" descr="https://mms.businesswire.com/media/newsItemId/de/697217/3/King_Salman_bin_Abdulaziz_Al_Saud_%28Photo_-AETOSWire%2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de/697217/3/King_Salman_bin_Abdulaziz_Al_Saud_%28Photo_-AETOSWire%2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0" w:history="1">
        <w:r w:rsidRPr="00CE43B0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2" w:history="1"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 King Salman bin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 Al Saud (Photo: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E43B0" w:rsidRPr="00CE43B0" w:rsidRDefault="00CE43B0" w:rsidP="00CE43B0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E43B0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1152525"/>
            <wp:effectExtent l="0" t="0" r="0" b="9525"/>
            <wp:docPr id="7" name="Picture 7" descr="https://mms.businesswire.com/media/newsItemId/de/697219/3/King_Salman_bin_Abdulaziz_Al_Saud_with_one_of_the_guests%28Photo-AETOSWire%2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de/697219/3/King_Salman_bin_Abdulaziz_Al_Saud_with_one_of_the_guests%28Photo-AETOSWire%2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CE43B0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6" w:history="1"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 King Salman bin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 Al Saud with one of the guests of the National Festival of Heritage and Culture at Al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Yamamah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 Palace in Riyadh (Photo: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E43B0" w:rsidRPr="00CE43B0" w:rsidRDefault="00CE43B0" w:rsidP="00CE43B0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E43B0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de/697218/3/Guests_of_the_National_Festival_of_Heritage_and_Culture_%28Photo-AETOSWire%2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de/697218/3/Guests_of_the_National_Festival_of_Heritage_and_Culture_%28Photo-AETOSWire%2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9" w:history="1">
        <w:r w:rsidRPr="00CE43B0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Guests of the National Festival of Heritage and Culture at Al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Yamamah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 xml:space="preserve"> Palace in Riyadh (Photo: </w:t>
      </w:r>
      <w:proofErr w:type="spellStart"/>
      <w:r w:rsidRPr="00CE43B0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E43B0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E43B0" w:rsidRPr="00CE43B0" w:rsidRDefault="00CE43B0" w:rsidP="00CE43B0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E43B0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de/697216/3/AL_JANADRIYAH_NEW_LOGO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de/697216/3/AL_JANADRIYAH_NEW_LOGO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CE43B0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4" w:history="1">
        <w:r w:rsidRPr="00CE43B0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CE43B0" w:rsidRPr="00CE43B0" w:rsidRDefault="00CE43B0" w:rsidP="00CE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3B0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52" w:rsidRDefault="00CE43B0"/>
    <w:sectPr w:rsidR="008F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B0"/>
    <w:rsid w:val="00636E2D"/>
    <w:rsid w:val="00C529E7"/>
    <w:rsid w:val="00C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29B9C-3507-468F-8E46-04D9A8E8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4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4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3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43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E43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351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54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052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2518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6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44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44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225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4942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5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businesswire.com/media/newsItemId/de/697217/4/King_Salman_bin_Abdulaziz_Al_Saud_%28Photo_-AETOSWire%29.jpg" TargetMode="External"/><Relationship Id="rId13" Type="http://schemas.openxmlformats.org/officeDocument/2006/relationships/hyperlink" Target="https://mms.businesswire.com/media/newsItemId/de/697219/4/King_Salman_bin_Abdulaziz_Al_Saud_with_one_of_the_guests%28Photo-AETOSWire%29.jpg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de/697216/4/AL_JANADRIYAH_NEW_LOGO.jpg" TargetMode="External"/><Relationship Id="rId7" Type="http://schemas.openxmlformats.org/officeDocument/2006/relationships/hyperlink" Target="mailto:Reham.barakat@pyramedia.biz" TargetMode="External"/><Relationship Id="rId12" Type="http://schemas.openxmlformats.org/officeDocument/2006/relationships/hyperlink" Target="https://mms.businesswire.com/media/newsItemId/de/697217/4/King_Salman_bin_Abdulaziz_Al_Saud_%28Photo_-AETOSWire%29.jpg" TargetMode="External"/><Relationship Id="rId17" Type="http://schemas.openxmlformats.org/officeDocument/2006/relationships/hyperlink" Target="https://mms.businesswire.com/media/newsItemId/de/697218/4/Guests_of_the_National_Festival_of_Heritage_and_Culture_%28Photo-AETOSWire%29.jp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de/697219/4/King_Salman_bin_Abdulaziz_Al_Saud_with_one_of_the_guests%28Photo-AETOSWire%29.jpg" TargetMode="External"/><Relationship Id="rId20" Type="http://schemas.openxmlformats.org/officeDocument/2006/relationships/hyperlink" Target="https://mms.businesswire.com/media/newsItemId/de/697218/4/Guests_of_the_National_Festival_of_Heritage_and_Culture_%28Photo-AETOSWire%2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mms.businesswire.com/media/newsItemId/de/697216/4/AL_JANADRIYAH_NEW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de/697219/4/King_Salman_bin_Abdulaziz_Al_Saud_with_one_of_the_guests%28Photo-AETOSWire%29.jpg" TargetMode="External"/><Relationship Id="rId23" Type="http://schemas.openxmlformats.org/officeDocument/2006/relationships/image" Target="media/image6.gif"/><Relationship Id="rId10" Type="http://schemas.openxmlformats.org/officeDocument/2006/relationships/hyperlink" Target="https://mms.businesswire.com/media/newsItemId/de/697217/4/King_Salman_bin_Abdulaziz_Al_Saud_%28Photo_-AETOSWire%29.jpg" TargetMode="External"/><Relationship Id="rId19" Type="http://schemas.openxmlformats.org/officeDocument/2006/relationships/hyperlink" Target="https://mms.businesswire.com/media/newsItemId/de/697218/4/Guests_of_the_National_Festival_of_Heritage_and_Culture_%28Photo-AETOSWire%29.jpg" TargetMode="External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mms.businesswire.com/media/newsItemId/de/697216/4/AL_JANADRIYAH_NEW_LOGO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Anberg</dc:creator>
  <cp:keywords/>
  <dc:description/>
  <cp:lastModifiedBy>Jeffrey Anberg</cp:lastModifiedBy>
  <cp:revision>1</cp:revision>
  <dcterms:created xsi:type="dcterms:W3CDTF">2018-12-24T22:34:00Z</dcterms:created>
  <dcterms:modified xsi:type="dcterms:W3CDTF">2018-12-24T22:35:00Z</dcterms:modified>
</cp:coreProperties>
</file>