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8B" w:rsidRPr="007E718B" w:rsidRDefault="007E718B" w:rsidP="007E718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18B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265555" cy="1371600"/>
            <wp:effectExtent l="0" t="0" r="0" b="0"/>
            <wp:docPr id="12" name="Picture 12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8B" w:rsidRPr="007E718B" w:rsidRDefault="007E718B" w:rsidP="007E718B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bookmarkStart w:id="0" w:name="_GoBack"/>
      <w:bookmarkEnd w:id="0"/>
      <w:proofErr w:type="spellStart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Janadria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33 – </w:t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Balanceren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tussen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de </w:t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duurzaamheid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van </w:t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tradities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en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live </w:t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communicatie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via de </w:t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nieuwste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technologieën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van de </w:t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wereld</w:t>
      </w:r>
      <w:proofErr w:type="spellEnd"/>
    </w:p>
    <w:p w:rsidR="007E718B" w:rsidRPr="007E718B" w:rsidRDefault="007E718B" w:rsidP="007E718B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>Arabische</w:t>
      </w:r>
      <w:proofErr w:type="spellEnd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>en</w:t>
      </w:r>
      <w:proofErr w:type="spellEnd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>internationale</w:t>
      </w:r>
      <w:proofErr w:type="spellEnd"/>
      <w:proofErr w:type="gramEnd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media </w:t>
      </w:r>
      <w:proofErr w:type="spellStart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>bestrijden</w:t>
      </w:r>
      <w:proofErr w:type="spellEnd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>elkaar</w:t>
      </w:r>
      <w:proofErr w:type="spellEnd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om </w:t>
      </w:r>
      <w:proofErr w:type="spellStart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>wie</w:t>
      </w:r>
      <w:proofErr w:type="spellEnd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het festival het best </w:t>
      </w:r>
      <w:proofErr w:type="spellStart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>kan</w:t>
      </w:r>
      <w:proofErr w:type="spellEnd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i/>
          <w:iCs/>
          <w:color w:val="000000"/>
          <w:sz w:val="24"/>
          <w:szCs w:val="24"/>
        </w:rPr>
        <w:t>verslaan</w:t>
      </w:r>
      <w:proofErr w:type="spellEnd"/>
    </w:p>
    <w:p w:rsidR="007E718B" w:rsidRPr="007E718B" w:rsidRDefault="007E718B" w:rsidP="007E718B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RIYAD,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Saoedi-Arabië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7E718B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)-- Het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Nationaal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Festival van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Erfgoed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Cultuur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is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waardevolle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kans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om de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mooiste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elementen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van het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materiële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immateriële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culturele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erfgoed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van het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Koninkrijk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Saoedi-Arabië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op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internationaal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niveau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uit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te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lichten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Honderden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lokale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Arabische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internationale</w:t>
      </w:r>
      <w:proofErr w:type="spellEnd"/>
      <w:proofErr w:type="gram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media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zijn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hevige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strijd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verwikkeld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om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wie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verschillende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prachtige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evenementen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van het festival het best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kan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verslaan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E718B" w:rsidRPr="007E718B" w:rsidRDefault="007E718B" w:rsidP="007E718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Deze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bekendmaking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is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officieel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geldend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in de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originele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brontaal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Vertalingen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zijn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slechts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proofErr w:type="gram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leeshulp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bedoeld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moeten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worden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vergeleken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met de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tekst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in de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brontaal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enige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rechtsgeldig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is.</w:t>
      </w:r>
    </w:p>
    <w:p w:rsidR="007E718B" w:rsidRPr="007E718B" w:rsidRDefault="007E718B" w:rsidP="007E718B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7E718B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7E718B" w:rsidRPr="007E718B" w:rsidRDefault="007E718B" w:rsidP="007E718B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E718B">
        <w:rPr>
          <w:rFonts w:ascii="Arial" w:eastAsia="Times New Roman" w:hAnsi="Arial" w:cs="Arial"/>
          <w:b/>
          <w:bCs/>
          <w:color w:val="000000"/>
          <w:sz w:val="24"/>
          <w:szCs w:val="24"/>
        </w:rPr>
        <w:t>Pyramedia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sz w:val="24"/>
          <w:szCs w:val="24"/>
        </w:rPr>
        <w:t>Reham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E718B">
        <w:rPr>
          <w:rFonts w:ascii="Arial" w:eastAsia="Times New Roman" w:hAnsi="Arial" w:cs="Arial"/>
          <w:b/>
          <w:bCs/>
          <w:color w:val="000000"/>
          <w:sz w:val="24"/>
          <w:szCs w:val="24"/>
        </w:rPr>
        <w:t>Barakat</w:t>
      </w:r>
      <w:proofErr w:type="spellEnd"/>
      <w:r w:rsidRPr="007E718B">
        <w:rPr>
          <w:rFonts w:ascii="Arial" w:eastAsia="Times New Roman" w:hAnsi="Arial" w:cs="Arial"/>
          <w:b/>
          <w:bCs/>
          <w:color w:val="000000"/>
          <w:sz w:val="24"/>
          <w:szCs w:val="24"/>
        </w:rPr>
        <w:t>,</w:t>
      </w:r>
      <w:r w:rsidRPr="007E718B">
        <w:rPr>
          <w:rFonts w:ascii="Arial" w:eastAsia="Times New Roman" w:hAnsi="Arial" w:cs="Arial"/>
          <w:color w:val="000000"/>
          <w:sz w:val="24"/>
          <w:szCs w:val="24"/>
        </w:rPr>
        <w:t> +971508228604</w:t>
      </w:r>
      <w:r w:rsidRPr="007E718B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" w:history="1">
        <w:r w:rsidRPr="007E718B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reham.barakat@pyramedia.biz</w:t>
        </w:r>
      </w:hyperlink>
    </w:p>
    <w:p w:rsidR="007E718B" w:rsidRPr="007E718B" w:rsidRDefault="007E718B" w:rsidP="007E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18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E718B" w:rsidRPr="007E718B" w:rsidRDefault="007E718B" w:rsidP="007E718B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Source: Al </w:t>
      </w:r>
      <w:proofErr w:type="spellStart"/>
      <w:r w:rsidRPr="007E718B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7E718B">
        <w:rPr>
          <w:rFonts w:ascii="Arial" w:eastAsia="Times New Roman" w:hAnsi="Arial" w:cs="Arial"/>
          <w:color w:val="000000"/>
          <w:sz w:val="24"/>
          <w:szCs w:val="24"/>
        </w:rPr>
        <w:t xml:space="preserve"> Festival</w:t>
      </w:r>
    </w:p>
    <w:p w:rsidR="007E718B" w:rsidRPr="007E718B" w:rsidRDefault="007E718B" w:rsidP="007E718B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7E718B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7E718B" w:rsidRPr="007E718B" w:rsidRDefault="007E718B" w:rsidP="007E718B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7E718B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67715"/>
            <wp:effectExtent l="0" t="0" r="0" b="0"/>
            <wp:docPr id="11" name="Picture 11" descr="http://www.businesswire.com/images/icons/icon_preview_video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sinesswire.com/images/icons/icon_preview_video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8B" w:rsidRPr="007E718B" w:rsidRDefault="007E718B" w:rsidP="007E7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0" w:history="1">
        <w:r w:rsidRPr="007E718B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4940" cy="154940"/>
              <wp:effectExtent l="0" t="0" r="0" b="0"/>
              <wp:docPr id="10" name="Picture 10" descr="http://www.businesswire.com/images/icons/icon_video.gif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video.gif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E718B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2" w:history="1">
        <w:r w:rsidRPr="007E718B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7E718B" w:rsidRPr="007E718B" w:rsidRDefault="007E718B" w:rsidP="007E7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E718B">
        <w:rPr>
          <w:rFonts w:ascii="Arial" w:eastAsia="Times New Roman" w:hAnsi="Arial" w:cs="Arial"/>
          <w:color w:val="000000"/>
          <w:sz w:val="17"/>
          <w:szCs w:val="17"/>
        </w:rPr>
        <w:lastRenderedPageBreak/>
        <w:t xml:space="preserve">Highlights from the Rich and Diverse Heritage and Culture Initiatives at the 33rd Edition of </w:t>
      </w:r>
      <w:proofErr w:type="spellStart"/>
      <w:r w:rsidRPr="007E718B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7E718B">
        <w:rPr>
          <w:rFonts w:ascii="Arial" w:eastAsia="Times New Roman" w:hAnsi="Arial" w:cs="Arial"/>
          <w:color w:val="000000"/>
          <w:sz w:val="17"/>
          <w:szCs w:val="17"/>
        </w:rPr>
        <w:t xml:space="preserve"> Festival in Saudi Arabia (Video: </w:t>
      </w:r>
      <w:proofErr w:type="spellStart"/>
      <w:r w:rsidRPr="007E718B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7E718B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7E718B" w:rsidRPr="007E718B" w:rsidRDefault="007E718B" w:rsidP="007E718B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7E718B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9" name="Picture 9" descr="https://mms.businesswire.com/media/newsItemId/nl/699380/3/Picture_One_%28Photo_AETOSWire%2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nl/699380/3/Picture_One_%28Photo_AETOSWire%2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8B" w:rsidRPr="007E718B" w:rsidRDefault="007E718B" w:rsidP="007E7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7E718B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4940" cy="154940"/>
              <wp:effectExtent l="0" t="0" r="0" b="0"/>
              <wp:docPr id="8" name="Picture 8" descr="http://www.businesswire.com/images/icons/icon_photo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photo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E718B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7E718B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7E718B" w:rsidRPr="007E718B" w:rsidRDefault="007E718B" w:rsidP="007E7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E718B">
        <w:rPr>
          <w:rFonts w:ascii="Arial" w:eastAsia="Times New Roman" w:hAnsi="Arial" w:cs="Arial"/>
          <w:color w:val="000000"/>
          <w:sz w:val="17"/>
          <w:szCs w:val="17"/>
        </w:rPr>
        <w:t xml:space="preserve">Scenes from the 33rd Edition of </w:t>
      </w:r>
      <w:proofErr w:type="spellStart"/>
      <w:r w:rsidRPr="007E718B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7E718B">
        <w:rPr>
          <w:rFonts w:ascii="Arial" w:eastAsia="Times New Roman" w:hAnsi="Arial" w:cs="Arial"/>
          <w:color w:val="000000"/>
          <w:sz w:val="17"/>
          <w:szCs w:val="17"/>
        </w:rPr>
        <w:t xml:space="preserve"> Festival in Saudi Arabia (Photo: </w:t>
      </w:r>
      <w:proofErr w:type="spellStart"/>
      <w:r w:rsidRPr="007E718B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7E718B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7E718B" w:rsidRPr="007E718B" w:rsidRDefault="007E718B" w:rsidP="007E718B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7E718B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71550"/>
            <wp:effectExtent l="0" t="0" r="0" b="0"/>
            <wp:docPr id="7" name="Picture 7" descr="https://mms.businesswire.com/media/newsItemId/nl/699381/3/Picture_Two_%28Photo_AETOSWire%2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nl/699381/3/Picture_Two_%28Photo_AETOSWire%2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8B" w:rsidRPr="007E718B" w:rsidRDefault="007E718B" w:rsidP="007E7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0" w:history="1">
        <w:r w:rsidRPr="007E718B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4940" cy="154940"/>
              <wp:effectExtent l="0" t="0" r="0" b="0"/>
              <wp:docPr id="6" name="Picture 6" descr="http://www.businesswire.com/images/icons/icon_photo.gif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E718B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1" w:history="1">
        <w:r w:rsidRPr="007E718B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7E718B" w:rsidRPr="007E718B" w:rsidRDefault="007E718B" w:rsidP="007E7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E718B">
        <w:rPr>
          <w:rFonts w:ascii="Arial" w:eastAsia="Times New Roman" w:hAnsi="Arial" w:cs="Arial"/>
          <w:color w:val="000000"/>
          <w:sz w:val="17"/>
          <w:szCs w:val="17"/>
        </w:rPr>
        <w:t xml:space="preserve">Scenes from the 33rd Edition of </w:t>
      </w:r>
      <w:proofErr w:type="spellStart"/>
      <w:r w:rsidRPr="007E718B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7E718B">
        <w:rPr>
          <w:rFonts w:ascii="Arial" w:eastAsia="Times New Roman" w:hAnsi="Arial" w:cs="Arial"/>
          <w:color w:val="000000"/>
          <w:sz w:val="17"/>
          <w:szCs w:val="17"/>
        </w:rPr>
        <w:t xml:space="preserve"> Festival in Saudi Arabia (Photo: </w:t>
      </w:r>
      <w:proofErr w:type="spellStart"/>
      <w:r w:rsidRPr="007E718B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7E718B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7E718B" w:rsidRPr="007E718B" w:rsidRDefault="007E718B" w:rsidP="007E718B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7E718B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971550" cy="1371600"/>
            <wp:effectExtent l="0" t="0" r="0" b="0"/>
            <wp:docPr id="5" name="Picture 5" descr="https://mms.businesswire.com/media/newsItemId/nl/699382/3/Picture_Three_%28Photo_AETOSWire%29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nl/699382/3/Picture_Three_%28Photo_AETOSWire%29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8B" w:rsidRPr="007E718B" w:rsidRDefault="007E718B" w:rsidP="007E7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4" w:history="1">
        <w:r w:rsidRPr="007E718B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4940" cy="154940"/>
              <wp:effectExtent l="0" t="0" r="0" b="0"/>
              <wp:docPr id="4" name="Picture 4" descr="http://www.businesswire.com/images/icons/icon_photo.gif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photo.gif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E718B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5" w:history="1">
        <w:r w:rsidRPr="007E718B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7E718B" w:rsidRPr="007E718B" w:rsidRDefault="007E718B" w:rsidP="007E7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E718B">
        <w:rPr>
          <w:rFonts w:ascii="Arial" w:eastAsia="Times New Roman" w:hAnsi="Arial" w:cs="Arial"/>
          <w:color w:val="000000"/>
          <w:sz w:val="17"/>
          <w:szCs w:val="17"/>
        </w:rPr>
        <w:t xml:space="preserve">Strong Media Coverage of the 33rd Edition of </w:t>
      </w:r>
      <w:proofErr w:type="spellStart"/>
      <w:r w:rsidRPr="007E718B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7E718B">
        <w:rPr>
          <w:rFonts w:ascii="Arial" w:eastAsia="Times New Roman" w:hAnsi="Arial" w:cs="Arial"/>
          <w:color w:val="000000"/>
          <w:sz w:val="17"/>
          <w:szCs w:val="17"/>
        </w:rPr>
        <w:t xml:space="preserve"> Festival in Saudi Arabia (Photo: </w:t>
      </w:r>
      <w:proofErr w:type="spellStart"/>
      <w:r w:rsidRPr="007E718B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7E718B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7E718B" w:rsidRPr="007E718B" w:rsidRDefault="007E718B" w:rsidP="007E718B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7E718B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65555" cy="1371600"/>
            <wp:effectExtent l="0" t="0" r="0" b="0"/>
            <wp:docPr id="3" name="Picture 3" descr="https://mms.businesswire.com/media/newsItemId/nl/697216/3/AL_JANADRIYAH_NEW_LOGO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ms.businesswire.com/media/newsItemId/nl/697216/3/AL_JANADRIYAH_NEW_LOGO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8B" w:rsidRPr="007E718B" w:rsidRDefault="007E718B" w:rsidP="007E7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7" w:history="1">
        <w:r w:rsidRPr="007E718B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4940" cy="154940"/>
              <wp:effectExtent l="0" t="0" r="0" b="0"/>
              <wp:docPr id="2" name="Picture 2" descr="http://www.businesswire.com/images/icons/icon_logo.gif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://www.businesswire.com/images/icons/icon_logo.gif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E718B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9" w:history="1">
        <w:r w:rsidRPr="007E718B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7E718B" w:rsidRPr="007E718B" w:rsidRDefault="007E718B" w:rsidP="007E7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18B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6955" cy="351155"/>
            <wp:effectExtent l="0" t="0" r="0" b="0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F4" w:rsidRDefault="007E718B"/>
    <w:sectPr w:rsidR="00EF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8B"/>
    <w:rsid w:val="00213CF7"/>
    <w:rsid w:val="007E718B"/>
    <w:rsid w:val="00E9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8AED8-79B3-411D-B3A1-5677685C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7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1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718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E718B"/>
    <w:rPr>
      <w:color w:val="0000FF"/>
      <w:u w:val="single"/>
    </w:rPr>
  </w:style>
  <w:style w:type="paragraph" w:customStyle="1" w:styleId="bwalignc">
    <w:name w:val="bwalignc"/>
    <w:basedOn w:val="Normal"/>
    <w:rsid w:val="007E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257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6745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46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3359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9304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430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0746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8922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7293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862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s.businesswire.com/media/newsItemId/nl/699385/2/3.jpg" TargetMode="External"/><Relationship Id="rId13" Type="http://schemas.openxmlformats.org/officeDocument/2006/relationships/hyperlink" Target="https://mms.businesswire.com/media/newsItemId/nl/699380/4/Picture_One_%28Photo_AETOSWire%29.jpg" TargetMode="External"/><Relationship Id="rId18" Type="http://schemas.openxmlformats.org/officeDocument/2006/relationships/hyperlink" Target="https://mms.businesswire.com/media/newsItemId/nl/699381/4/Picture_Two_%28Photo_AETOSWire%29.jpg" TargetMode="External"/><Relationship Id="rId26" Type="http://schemas.openxmlformats.org/officeDocument/2006/relationships/hyperlink" Target="https://mms.businesswire.com/media/newsItemId/nl/697216/4/AL_JANADRIYAH_NEW_LOGO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nl/699381/4/Picture_Two_%28Photo_AETOSWire%29.jpg" TargetMode="External"/><Relationship Id="rId7" Type="http://schemas.openxmlformats.org/officeDocument/2006/relationships/hyperlink" Target="mailto:reham.barakat@pyramedia.biz" TargetMode="External"/><Relationship Id="rId12" Type="http://schemas.openxmlformats.org/officeDocument/2006/relationships/hyperlink" Target="https://mms.businesswire.com/media/newsItemId/nl/699385/2/3.jpg" TargetMode="External"/><Relationship Id="rId17" Type="http://schemas.openxmlformats.org/officeDocument/2006/relationships/hyperlink" Target="https://mms.businesswire.com/media/newsItemId/nl/699380/4/Picture_One_%28Photo_AETOSWire%29.jpg" TargetMode="External"/><Relationship Id="rId25" Type="http://schemas.openxmlformats.org/officeDocument/2006/relationships/hyperlink" Target="https://mms.businesswire.com/media/newsItemId/nl/699382/4/Picture_Three_%28Photo_AETOSWire%29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20" Type="http://schemas.openxmlformats.org/officeDocument/2006/relationships/hyperlink" Target="https://mms.businesswire.com/media/newsItemId/nl/699381/4/Picture_Two_%28Photo_AETOSWire%29.jpg" TargetMode="External"/><Relationship Id="rId29" Type="http://schemas.openxmlformats.org/officeDocument/2006/relationships/hyperlink" Target="https://mms.businesswire.com/media/newsItemId/nl/697216/4/AL_JANADRIYAH_NEW_LOGO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mms.businesswire.com/media/newsItemId/nl/699382/4/Picture_Three_%28Photo_AETOSWire%29.jpg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ms.businesswire.com/media/newsItemId/nl/699380/4/Picture_One_%28Photo_AETOSWire%29.jpg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8.gif"/><Relationship Id="rId10" Type="http://schemas.openxmlformats.org/officeDocument/2006/relationships/hyperlink" Target="https://mms.businesswire.com/media/newsItemId/nl/699385/2/3.jpg" TargetMode="Externa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hyperlink" Target="http://www.janadria.org.sa/Pages/default.aspx" TargetMode="External"/><Relationship Id="rId9" Type="http://schemas.openxmlformats.org/officeDocument/2006/relationships/image" Target="media/image2.gif"/><Relationship Id="rId14" Type="http://schemas.openxmlformats.org/officeDocument/2006/relationships/image" Target="media/image4.jpeg"/><Relationship Id="rId22" Type="http://schemas.openxmlformats.org/officeDocument/2006/relationships/hyperlink" Target="https://mms.businesswire.com/media/newsItemId/nl/699382/4/Picture_Three_%28Photo_AETOSWire%29.jpg" TargetMode="External"/><Relationship Id="rId27" Type="http://schemas.openxmlformats.org/officeDocument/2006/relationships/hyperlink" Target="https://mms.businesswire.com/media/newsItemId/nl/697216/4/AL_JANADRIYAH_NEW_LOGO.jpg" TargetMode="External"/><Relationship Id="rId30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Holmgreen</dc:creator>
  <cp:keywords/>
  <dc:description/>
  <cp:lastModifiedBy>Mikala Holmgreen</cp:lastModifiedBy>
  <cp:revision>1</cp:revision>
  <dcterms:created xsi:type="dcterms:W3CDTF">2019-01-09T17:12:00Z</dcterms:created>
  <dcterms:modified xsi:type="dcterms:W3CDTF">2019-01-09T17:13:00Z</dcterms:modified>
</cp:coreProperties>
</file>