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4D" w:rsidRPr="006F1D4D" w:rsidRDefault="006F1D4D" w:rsidP="006F1D4D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1600" cy="1219200"/>
            <wp:effectExtent l="0" t="0" r="0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4D" w:rsidRDefault="006F1D4D" w:rsidP="006F1D4D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Começa</w:t>
      </w:r>
      <w:proofErr w:type="spellEnd"/>
      <w:r w:rsidRPr="006F1D4D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o </w:t>
      </w: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exercício</w:t>
      </w:r>
      <w:proofErr w:type="spellEnd"/>
      <w:r w:rsidRPr="006F1D4D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ISALEX19 </w:t>
      </w: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em</w:t>
      </w:r>
      <w:proofErr w:type="spellEnd"/>
      <w:r w:rsidRPr="006F1D4D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 xml:space="preserve"> Abu Dhabi</w:t>
      </w:r>
    </w:p>
    <w:p w:rsidR="006F1D4D" w:rsidRPr="006F1D4D" w:rsidRDefault="006F1D4D" w:rsidP="006F1D4D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ABU DHABI,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Emirados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Árabes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Unidos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--(</w:t>
      </w:r>
      <w:hyperlink r:id="rId6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BUSINESS WIRE</w:t>
        </w:r>
      </w:hyperlink>
      <w:proofErr w:type="gram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)--</w:t>
      </w:r>
      <w:proofErr w:type="gram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primeiro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exercício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conjunto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Aliança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Internacional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(ISALEX19),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organizado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pelo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Ministério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do Interior dos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Emirados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Árabes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Unidos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teve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início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ontem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(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domingo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). 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exercício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teve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participação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50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representantes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agências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aplicação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da lei dos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países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Aliança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Internacional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(International Security Alliance, ISA),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incluindo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membros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equipes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táticas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;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unidades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intervenção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rápidas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;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meios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comunicação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defesa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civil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equipes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eliminação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material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explosivo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(EOD - Explosive Ordnance Disposal).</w:t>
      </w: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Descrito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como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uma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experiência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realista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única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no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mundo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o ISALEX19 é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baseado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cenários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inesperados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nos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quais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equipes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dos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países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da ISA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operarão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acordo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com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diferentes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teorias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estratégias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fim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testar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</w:t>
      </w:r>
      <w:bookmarkStart w:id="0" w:name="_GoBack"/>
      <w:bookmarkEnd w:id="0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prontidão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das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equipes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internacionais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para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enfrentar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ameaças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. 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exercício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também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visa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avaliar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ferramentas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estratégias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procedimentos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desenvolvidos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pelos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países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da ISA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desde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criação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Aliança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2017.</w:t>
      </w: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exercícios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primeiro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dia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começaram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com um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súbito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anúncio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TV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sobre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uma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ameaça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à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um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país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virtual.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acordo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com 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cenário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definido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participantes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receberam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relatórios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sobre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um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grupo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que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realiza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vários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ataques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nesse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país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virtual.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Participantes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equipes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especializadas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foram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enviados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câmaras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dedicadas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campo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treinamento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acordo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com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suas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especialidades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incluindo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análise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táticas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gerenciamento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riscos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operações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meio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gram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</w:t>
      </w:r>
      <w:proofErr w:type="gram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ataques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ameaças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simulados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.</w:t>
      </w: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Forças-tarefa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especializadas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comunicaram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informações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notícias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compiladas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sobre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ataques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comandantes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campo para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permitir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tomada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decisão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adequada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. 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resposta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às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ameaças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foi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realizada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com base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nos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cenários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adotados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proofErr w:type="gram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durante</w:t>
      </w:r>
      <w:proofErr w:type="spellEnd"/>
      <w:proofErr w:type="gram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workshops da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Aliança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Internacional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que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forneceram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treinamento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adequado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para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garantir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ações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participativas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conjuntas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para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alcançar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metas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desejadas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promover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resposta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rápida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prontidão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para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tais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eventos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.</w:t>
      </w: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lastRenderedPageBreak/>
        <w:t xml:space="preserve">As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equipes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trabalharam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perfeita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harmonia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proofErr w:type="gram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na</w:t>
      </w:r>
      <w:proofErr w:type="spellEnd"/>
      <w:proofErr w:type="gram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Sala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Operações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preparada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para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este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exercício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fim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criar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práticas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mais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adequadas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para responder à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ameaça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acordo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com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planos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.</w:t>
      </w: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As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equipes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que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participaram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Exercício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Conjunto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(ISALEX19)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visitaram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Wahat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Al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Karama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proofErr w:type="gram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marco</w:t>
      </w:r>
      <w:proofErr w:type="spellEnd"/>
      <w:proofErr w:type="gram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cultural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nacional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de Abu Dhabi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projetado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para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comemorar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sacrifícios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feitos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heroicos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dos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mártires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dos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Emirados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Árabes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Unidos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para defender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sua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terra natal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proteger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suas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conquistas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.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Eles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também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visitaram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 Grande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Mesquita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Sheikh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Zayed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, SZGM,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Abu Dhabi.</w:t>
      </w: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Fonte: </w:t>
      </w: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fldChar w:fldCharType="begin"/>
      </w:r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instrText xml:space="preserve"> HYPERLINK "https://cts.businesswire.com/ct/CT?id=smartlink&amp;url=https%3A%2F%2Fwww.aetoswire.com%2Fnews%2F9049%2Fen&amp;esheet=52007643&amp;lan=pt-BR&amp;anchor=AETOSWire&amp;index=1&amp;md5=ccf39777fa588c7f93426c9d7687a924" </w:instrText>
      </w:r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fldChar w:fldCharType="separate"/>
      </w:r>
      <w:r w:rsidRPr="006F1D4D">
        <w:rPr>
          <w:rFonts w:ascii="Helvetica" w:eastAsia="Times New Roman" w:hAnsi="Helvetica" w:cs="Helvetica"/>
          <w:b/>
          <w:bCs/>
          <w:color w:val="79A2BD"/>
          <w:sz w:val="24"/>
          <w:szCs w:val="24"/>
          <w:u w:val="single"/>
        </w:rPr>
        <w:t>AETOSWire</w:t>
      </w:r>
      <w:proofErr w:type="spellEnd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fldChar w:fldCharType="end"/>
      </w: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texto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no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idioma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original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deste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anúncio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é 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versão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oficial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autorizada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. As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traduções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fornecidas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apenas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proofErr w:type="gram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como</w:t>
      </w:r>
      <w:proofErr w:type="spellEnd"/>
      <w:proofErr w:type="gram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uma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facilidade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devem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se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referir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texto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no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idioma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original, que é a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única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versão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do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texto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que tem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efeito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legal.</w:t>
      </w:r>
    </w:p>
    <w:p w:rsidR="006F1D4D" w:rsidRPr="006F1D4D" w:rsidRDefault="006F1D4D" w:rsidP="006F1D4D">
      <w:pPr>
        <w:shd w:val="clear" w:color="auto" w:fill="FEFEFE"/>
        <w:spacing w:after="0" w:line="280" w:lineRule="atLeast"/>
        <w:outlineLvl w:val="1"/>
        <w:rPr>
          <w:rFonts w:ascii="Helvetica" w:eastAsia="Times New Roman" w:hAnsi="Helvetica" w:cs="Helvetica"/>
          <w:color w:val="9ECC38"/>
          <w:sz w:val="31"/>
          <w:szCs w:val="31"/>
        </w:rPr>
      </w:pPr>
      <w:r w:rsidRPr="006F1D4D">
        <w:rPr>
          <w:rFonts w:ascii="Helvetica" w:eastAsia="Times New Roman" w:hAnsi="Helvetica" w:cs="Helvetica"/>
          <w:color w:val="9ECC38"/>
          <w:sz w:val="31"/>
          <w:szCs w:val="31"/>
        </w:rPr>
        <w:t>Contacts</w:t>
      </w: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Aliança</w:t>
      </w:r>
      <w:proofErr w:type="spellEnd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Internacional</w:t>
      </w:r>
      <w:proofErr w:type="spellEnd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 xml:space="preserve"> de </w:t>
      </w: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Segurança</w:t>
      </w:r>
      <w:proofErr w:type="spellEnd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 </w:t>
      </w: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br/>
      </w: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Raed</w:t>
      </w:r>
      <w:proofErr w:type="spellEnd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 xml:space="preserve"> Al </w:t>
      </w: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Ajlouni</w:t>
      </w:r>
      <w:proofErr w:type="spellEnd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, </w:t>
      </w: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+971504702790 </w:t>
      </w: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br/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ou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 </w:t>
      </w: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 xml:space="preserve">Amanda </w:t>
      </w:r>
      <w:proofErr w:type="spellStart"/>
      <w:r w:rsidRPr="006F1D4D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Ayass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, +971567225338 </w:t>
      </w: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br/>
      </w:r>
      <w:hyperlink r:id="rId7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amanda@securitymedia.ae </w:t>
        </w:r>
      </w:hyperlink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br/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Siga-nos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no: </w:t>
      </w:r>
      <w:hyperlink r:id="rId8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Twitter</w:t>
        </w:r>
      </w:hyperlink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 | </w:t>
      </w:r>
      <w:hyperlink r:id="rId9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Facebook</w:t>
        </w:r>
      </w:hyperlink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 | </w:t>
      </w:r>
      <w:hyperlink r:id="rId10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YouTube</w:t>
        </w:r>
      </w:hyperlink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 | </w:t>
      </w:r>
      <w:hyperlink r:id="rId11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Instagram</w:t>
        </w:r>
      </w:hyperlink>
    </w:p>
    <w:p w:rsidR="006F1D4D" w:rsidRPr="006F1D4D" w:rsidRDefault="006F1D4D" w:rsidP="006F1D4D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</w:p>
    <w:p w:rsidR="006F1D4D" w:rsidRPr="006F1D4D" w:rsidRDefault="006F1D4D" w:rsidP="006F1D4D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Source: UAE Ministry of Interior</w:t>
      </w:r>
    </w:p>
    <w:p w:rsidR="006F1D4D" w:rsidRPr="006F1D4D" w:rsidRDefault="006F1D4D" w:rsidP="006F1D4D">
      <w:pPr>
        <w:pBdr>
          <w:top w:val="single" w:sz="6" w:space="2" w:color="CCCCCC"/>
        </w:pBdr>
        <w:shd w:val="clear" w:color="auto" w:fill="FEFEFE"/>
        <w:spacing w:before="504" w:after="84" w:line="280" w:lineRule="atLeast"/>
        <w:outlineLvl w:val="1"/>
        <w:rPr>
          <w:rFonts w:ascii="Helvetica" w:eastAsia="Times New Roman" w:hAnsi="Helvetica" w:cs="Helvetica"/>
          <w:color w:val="9ECC38"/>
          <w:sz w:val="34"/>
          <w:szCs w:val="34"/>
        </w:rPr>
      </w:pPr>
      <w:r w:rsidRPr="006F1D4D">
        <w:rPr>
          <w:rFonts w:ascii="Helvetica" w:eastAsia="Times New Roman" w:hAnsi="Helvetica" w:cs="Helvetica"/>
          <w:color w:val="9ECC38"/>
          <w:sz w:val="34"/>
          <w:szCs w:val="34"/>
        </w:rPr>
        <w:t>Multimedia</w:t>
      </w:r>
    </w:p>
    <w:p w:rsidR="006F1D4D" w:rsidRPr="006F1D4D" w:rsidRDefault="006F1D4D" w:rsidP="006F1D4D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1600" cy="771525"/>
            <wp:effectExtent l="0" t="0" r="0" b="9525"/>
            <wp:docPr id="9" name="Picture 9" descr="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4D" w:rsidRPr="006F1D4D" w:rsidRDefault="006F1D4D" w:rsidP="006F1D4D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14" w:history="1">
        <w:r w:rsidRPr="006F1D4D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2400" cy="152400"/>
              <wp:effectExtent l="0" t="0" r="0" b="0"/>
              <wp:docPr id="8" name="Picture 8" descr=" 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 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16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Video</w:t>
        </w:r>
      </w:hyperlink>
    </w:p>
    <w:p w:rsidR="006F1D4D" w:rsidRPr="006F1D4D" w:rsidRDefault="006F1D4D" w:rsidP="006F1D4D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ISALEX19 Exercise Kicks-off in Abu Dhabi (Press </w:t>
      </w:r>
      <w:proofErr w:type="gram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Video :</w:t>
      </w:r>
      <w:proofErr w:type="gram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AETOSWire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)</w:t>
      </w:r>
    </w:p>
    <w:p w:rsidR="006F1D4D" w:rsidRPr="006F1D4D" w:rsidRDefault="006F1D4D" w:rsidP="006F1D4D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1600" cy="771525"/>
            <wp:effectExtent l="0" t="0" r="0" b="9525"/>
            <wp:docPr id="7" name="Picture 7" descr="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4D" w:rsidRPr="006F1D4D" w:rsidRDefault="006F1D4D" w:rsidP="006F1D4D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18" w:history="1">
        <w:r w:rsidRPr="006F1D4D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2400" cy="152400"/>
              <wp:effectExtent l="0" t="0" r="0" b="0"/>
              <wp:docPr id="6" name="Picture 6" descr=" 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 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19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Video</w:t>
        </w:r>
      </w:hyperlink>
    </w:p>
    <w:p w:rsidR="006F1D4D" w:rsidRPr="006F1D4D" w:rsidRDefault="006F1D4D" w:rsidP="006F1D4D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ISALEX19 Exercise Kicks-off in Abu Dhabi (Press </w:t>
      </w:r>
      <w:proofErr w:type="gram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Video :</w:t>
      </w:r>
      <w:proofErr w:type="gram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AETOSWire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)</w:t>
      </w:r>
    </w:p>
    <w:p w:rsidR="006F1D4D" w:rsidRPr="006F1D4D" w:rsidRDefault="006F1D4D" w:rsidP="006F1D4D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noProof/>
          <w:color w:val="79A2BD"/>
          <w:sz w:val="24"/>
          <w:szCs w:val="24"/>
        </w:rPr>
        <w:lastRenderedPageBreak/>
        <w:drawing>
          <wp:inline distT="0" distB="0" distL="0" distR="0">
            <wp:extent cx="1371600" cy="809625"/>
            <wp:effectExtent l="0" t="0" r="0" b="9525"/>
            <wp:docPr id="5" name="Picture 5" descr="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4D" w:rsidRPr="006F1D4D" w:rsidRDefault="006F1D4D" w:rsidP="006F1D4D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22" w:history="1">
        <w:r w:rsidRPr="006F1D4D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2400" cy="152400"/>
              <wp:effectExtent l="0" t="0" r="0" b="0"/>
              <wp:docPr id="4" name="Picture 4" descr=" 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 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24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Photo</w:t>
        </w:r>
      </w:hyperlink>
    </w:p>
    <w:p w:rsidR="006F1D4D" w:rsidRPr="006F1D4D" w:rsidRDefault="006F1D4D" w:rsidP="006F1D4D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 xml:space="preserve">Participants during The International Security Alliance’s First Joint Exercise (ISALEX19) (Photo: </w:t>
      </w:r>
      <w:proofErr w:type="spellStart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AETOSWire</w:t>
      </w:r>
      <w:proofErr w:type="spellEnd"/>
      <w:r w:rsidRPr="006F1D4D">
        <w:rPr>
          <w:rFonts w:ascii="Helvetica" w:eastAsia="Times New Roman" w:hAnsi="Helvetica" w:cs="Helvetica"/>
          <w:color w:val="444444"/>
          <w:sz w:val="24"/>
          <w:szCs w:val="24"/>
        </w:rPr>
        <w:t>)</w:t>
      </w:r>
    </w:p>
    <w:p w:rsidR="006F1D4D" w:rsidRPr="006F1D4D" w:rsidRDefault="006F1D4D" w:rsidP="006F1D4D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1600" cy="1219200"/>
            <wp:effectExtent l="0" t="0" r="0" b="0"/>
            <wp:docPr id="3" name="Picture 3" descr=" 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4D" w:rsidRPr="006F1D4D" w:rsidRDefault="006F1D4D" w:rsidP="006F1D4D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26" w:history="1">
        <w:r w:rsidRPr="006F1D4D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2400" cy="152400"/>
              <wp:effectExtent l="0" t="0" r="0" b="0"/>
              <wp:docPr id="2" name="Picture 2" descr=" 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 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28" w:history="1">
        <w:r w:rsidRPr="006F1D4D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Logo</w:t>
        </w:r>
      </w:hyperlink>
    </w:p>
    <w:p w:rsidR="006F1D4D" w:rsidRPr="006F1D4D" w:rsidRDefault="006F1D4D" w:rsidP="006F1D4D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6F1D4D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559" w:rsidRDefault="00812559"/>
    <w:sectPr w:rsidR="00812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4D"/>
    <w:rsid w:val="006F1D4D"/>
    <w:rsid w:val="0081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1B992-31FD-4705-A670-1E3944D1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F1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D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F1D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F1D4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5259">
              <w:marLeft w:val="240"/>
              <w:marRight w:val="240"/>
              <w:marTop w:val="0"/>
              <w:marBottom w:val="5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59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95602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9768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4939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5400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284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2007643&amp;lan=pt-BR&amp;anchor=Twitter&amp;index=2&amp;md5=8c9f728572cfc1c369db73b6b53f6ba7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s://connect.businesswire.com/bwapps/mediaserver/PublicViewMedia?mgid=730908&amp;vid=21" TargetMode="External"/><Relationship Id="rId26" Type="http://schemas.openxmlformats.org/officeDocument/2006/relationships/hyperlink" Target="https://connect.businesswire.com/bwapps/mediaserver/PublicViewMedia?mgid=730846&amp;vid=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mailto:amanda@securitymedia.ae" TargetMode="External"/><Relationship Id="rId12" Type="http://schemas.openxmlformats.org/officeDocument/2006/relationships/hyperlink" Target="https://connect.businesswire.com/bwapps/mediaserver/PublicViewMedia?mgid=730921&amp;vid=21" TargetMode="External"/><Relationship Id="rId17" Type="http://schemas.openxmlformats.org/officeDocument/2006/relationships/hyperlink" Target="https://connect.businesswire.com/bwapps/mediaserver/PublicViewMedia?mgid=730908&amp;vid=21" TargetMode="External"/><Relationship Id="rId25" Type="http://schemas.openxmlformats.org/officeDocument/2006/relationships/hyperlink" Target="https://connect.businesswire.com/bwapps/mediaserver/PublicViewMedia?mgid=730846&amp;vid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nect.businesswire.com/bwapps/mediaserver/PublicViewMedia?mgid=730921&amp;vid=21" TargetMode="External"/><Relationship Id="rId20" Type="http://schemas.openxmlformats.org/officeDocument/2006/relationships/hyperlink" Target="https://connect.businesswire.com/bwapps/mediaserver/PublicViewMedia?mgid=730847&amp;vid=4" TargetMode="External"/><Relationship Id="rId29" Type="http://schemas.openxmlformats.org/officeDocument/2006/relationships/hyperlink" Target="http://www.businesswir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" TargetMode="External"/><Relationship Id="rId11" Type="http://schemas.openxmlformats.org/officeDocument/2006/relationships/hyperlink" Target="https://cts.businesswire.com/ct/CT?id=smartlink&amp;url=https%3A%2F%2Fwww.instagram.com%2Fmoiuae%2F&amp;esheet=52007643&amp;lan=pt-BR&amp;anchor=Instagram&amp;index=5&amp;md5=b8770422a0d60b871f9db565cf920e20" TargetMode="External"/><Relationship Id="rId24" Type="http://schemas.openxmlformats.org/officeDocument/2006/relationships/hyperlink" Target="https://connect.businesswire.com/bwapps/mediaserver/PublicViewMedia?mgid=730847&amp;vid=4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23" Type="http://schemas.openxmlformats.org/officeDocument/2006/relationships/image" Target="media/image5.gif"/><Relationship Id="rId28" Type="http://schemas.openxmlformats.org/officeDocument/2006/relationships/hyperlink" Target="https://connect.businesswire.com/bwapps/mediaserver/PublicViewMedia?mgid=730846&amp;vid=4" TargetMode="External"/><Relationship Id="rId10" Type="http://schemas.openxmlformats.org/officeDocument/2006/relationships/hyperlink" Target="https://cts.businesswire.com/ct/CT?id=smartlink&amp;url=https%3A%2F%2Fwww.youtube.com%2Fuser%2Ftheabudhabipolice&amp;esheet=52007643&amp;lan=pt-BR&amp;anchor=YouTube&amp;index=4&amp;md5=114c3f94d249a65c8e6572c8e6b39f84" TargetMode="External"/><Relationship Id="rId19" Type="http://schemas.openxmlformats.org/officeDocument/2006/relationships/hyperlink" Target="https://connect.businesswire.com/bwapps/mediaserver/PublicViewMedia?mgid=730908&amp;vid=21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moi.gov.ae/ar/default.aspx" TargetMode="External"/><Relationship Id="rId9" Type="http://schemas.openxmlformats.org/officeDocument/2006/relationships/hyperlink" Target="https://cts.businesswire.com/ct/CT?id=smartlink&amp;url=https%3A%2F%2Fwww.facebook.com%2FMOIUAE%2F&amp;esheet=52007643&amp;lan=pt-BR&amp;anchor=Facebook&amp;index=3&amp;md5=810dd44ed69b3c5174552a1f67a6a4e4" TargetMode="External"/><Relationship Id="rId14" Type="http://schemas.openxmlformats.org/officeDocument/2006/relationships/hyperlink" Target="https://connect.businesswire.com/bwapps/mediaserver/PublicViewMedia?mgid=730921&amp;vid=21" TargetMode="External"/><Relationship Id="rId22" Type="http://schemas.openxmlformats.org/officeDocument/2006/relationships/hyperlink" Target="https://connect.businesswire.com/bwapps/mediaserver/PublicViewMedia?mgid=730847&amp;vid=4" TargetMode="External"/><Relationship Id="rId27" Type="http://schemas.openxmlformats.org/officeDocument/2006/relationships/image" Target="media/image6.gif"/><Relationship Id="rId30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Kehrlein</dc:creator>
  <cp:keywords/>
  <dc:description/>
  <cp:lastModifiedBy>Anna Kehrlein</cp:lastModifiedBy>
  <cp:revision>1</cp:revision>
  <dcterms:created xsi:type="dcterms:W3CDTF">2019-07-02T07:27:00Z</dcterms:created>
  <dcterms:modified xsi:type="dcterms:W3CDTF">2019-07-02T07:28:00Z</dcterms:modified>
</cp:coreProperties>
</file>