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DA9" w:rsidRPr="00502DA9" w:rsidRDefault="00502DA9" w:rsidP="00502DA9">
      <w:pPr>
        <w:shd w:val="clear" w:color="auto" w:fill="FEFEFE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502DA9">
        <w:rPr>
          <w:rFonts w:ascii="Helvetica" w:eastAsia="Times New Roman" w:hAnsi="Helvetica" w:cs="Helvetica"/>
          <w:noProof/>
          <w:color w:val="79A2BD"/>
          <w:sz w:val="21"/>
          <w:szCs w:val="21"/>
        </w:rPr>
        <w:drawing>
          <wp:inline distT="0" distB="0" distL="0" distR="0">
            <wp:extent cx="1371600" cy="1219200"/>
            <wp:effectExtent l="0" t="0" r="0" b="0"/>
            <wp:docPr id="8" name="Picture 8" descr="Logo">
              <a:hlinkClick xmlns:a="http://schemas.openxmlformats.org/drawingml/2006/main" r:id="rId4" tooltip="&quot;View at BusinessWire.co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>
                      <a:hlinkClick r:id="rId4" tooltip="&quot;View at BusinessWire.co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DA9" w:rsidRPr="00502DA9" w:rsidRDefault="00502DA9" w:rsidP="00502DA9">
      <w:pPr>
        <w:shd w:val="clear" w:color="auto" w:fill="FFFFFF"/>
        <w:spacing w:after="0" w:line="510" w:lineRule="atLeast"/>
        <w:jc w:val="center"/>
        <w:textAlignment w:val="center"/>
        <w:outlineLvl w:val="0"/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</w:pPr>
      <w:proofErr w:type="spellStart"/>
      <w:r w:rsidRPr="00502DA9"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  <w:t>Saif</w:t>
      </w:r>
      <w:proofErr w:type="spellEnd"/>
      <w:r w:rsidRPr="00502DA9"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  <w:t xml:space="preserve"> bin </w:t>
      </w:r>
      <w:proofErr w:type="spellStart"/>
      <w:r w:rsidRPr="00502DA9"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  <w:t>Zayid</w:t>
      </w:r>
      <w:proofErr w:type="spellEnd"/>
      <w:r w:rsidRPr="00502DA9"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  <w:t>besucht</w:t>
      </w:r>
      <w:proofErr w:type="spellEnd"/>
      <w:r w:rsidRPr="00502DA9"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  <w:t>Abschluss</w:t>
      </w:r>
      <w:proofErr w:type="spellEnd"/>
      <w:r w:rsidRPr="00502DA9"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  <w:t xml:space="preserve"> der </w:t>
      </w:r>
      <w:proofErr w:type="spellStart"/>
      <w:r w:rsidRPr="00502DA9"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  <w:t>Übung</w:t>
      </w:r>
      <w:proofErr w:type="spellEnd"/>
      <w:r w:rsidRPr="00502DA9"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  <w:t xml:space="preserve"> ISALEX19</w:t>
      </w:r>
    </w:p>
    <w:p w:rsidR="00502DA9" w:rsidRPr="00502DA9" w:rsidRDefault="00502DA9" w:rsidP="00502DA9">
      <w:pPr>
        <w:shd w:val="clear" w:color="auto" w:fill="FEFEFE"/>
        <w:spacing w:after="36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ABU DHABI (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Vereinigte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Arabische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Emirate)--(</w:t>
      </w:r>
      <w:hyperlink r:id="rId6" w:history="1">
        <w:r w:rsidRPr="00502DA9">
          <w:rPr>
            <w:rFonts w:ascii="Helvetica" w:eastAsia="Times New Roman" w:hAnsi="Helvetica" w:cs="Helvetica"/>
            <w:color w:val="79A2BD"/>
            <w:sz w:val="21"/>
            <w:szCs w:val="21"/>
            <w:u w:val="single"/>
          </w:rPr>
          <w:t>BUSINESS WIRE</w:t>
        </w:r>
      </w:hyperlink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)--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Generalleutnant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Seine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Hoheit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Scheich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Saif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bin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Zayed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Al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Nahyan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,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stellvertretender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Premierminister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und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Innenminister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, hat den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Abschluss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der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ersten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gemeinsamen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Übung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(ISALEX19) der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Internationalen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Sicherheitsallianz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(International Security Alliance)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besucht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, die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vom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Innenministerium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der VAE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veranstaltet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wurde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.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Fünfzig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Vertreter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von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Strafverfolgungsbehörden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aus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zur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International Security Alliance (ISA)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gehörenden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Staaten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nehmen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gram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an</w:t>
      </w:r>
      <w:proofErr w:type="gram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der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Übung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teil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.</w:t>
      </w:r>
    </w:p>
    <w:p w:rsidR="00502DA9" w:rsidRPr="00502DA9" w:rsidRDefault="00502DA9" w:rsidP="00502DA9">
      <w:pPr>
        <w:shd w:val="clear" w:color="auto" w:fill="FEFEFE"/>
        <w:spacing w:after="36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Generalleutnant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Seine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Hoheit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Sheich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Saif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wurde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von den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Leitern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der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teilnehmenden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Spezialeinsatzkommandos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über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die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Übung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informiert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und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erhielt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eine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Analyse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der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Ergebnisse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und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Pläne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, die von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Experten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während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der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Übung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erstellt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worden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waren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. Die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Übung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umfasste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das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Szenario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einer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Sicherheitsbedrohung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in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einem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fiktiven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Land. Die Teams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bewiesen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trotz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breiter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Beteiligung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von 50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Sicherheitsexperten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aus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Ländern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der Allianz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bei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ihrer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Zusammenarbeit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ein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hohes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Maß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gram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an</w:t>
      </w:r>
      <w:proofErr w:type="gram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Professionalität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und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Teamgeist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.</w:t>
      </w:r>
    </w:p>
    <w:p w:rsidR="00502DA9" w:rsidRPr="00502DA9" w:rsidRDefault="00502DA9" w:rsidP="00502DA9">
      <w:pPr>
        <w:shd w:val="clear" w:color="auto" w:fill="FEFEFE"/>
        <w:spacing w:after="36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Der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stellvertretende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Premierminister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und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Innenminister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besichtigte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einige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der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laufenden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Aktivitäten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während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der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Übung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und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sah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zu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,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wie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Fachkräfte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und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Einsatzkommandos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Informationen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einholten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und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analysierten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, um der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virtuellen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Sicherheitsbedrohung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zu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begegnen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.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Im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Verlauf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der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Übung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tauschten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sich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die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teilnehmenden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Teams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bezüglich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bewährter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Methoden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im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Umgang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mit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dem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virtuellen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Szenario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aus.</w:t>
      </w:r>
      <w:proofErr w:type="spellEnd"/>
    </w:p>
    <w:p w:rsidR="00502DA9" w:rsidRPr="00502DA9" w:rsidRDefault="00502DA9" w:rsidP="00502DA9">
      <w:pPr>
        <w:shd w:val="clear" w:color="auto" w:fill="FEFEFE"/>
        <w:spacing w:after="36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Weitere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Besucher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der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Veranstaltung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waren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Generalleutnant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Saif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Abdullah Al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Sha’far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,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Beauftragter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des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Innenministeriums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, Seine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Eminenz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Generalleutnant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Dhahi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Khalfan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Tamim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,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stellvertretender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Vorsitzender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der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Polizei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und der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Sicherheitskräfte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von Dubai,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Generalmajor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Ahmed Nasser Al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Raisi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,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Generalinspekteur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des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Innenministeriums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,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Generalmajor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Salem Ali Mubarak Al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Shamsi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,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Ministerialrat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für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Ressourcen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und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unterstützende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Dienstleistungen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,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Generalmajor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Abdul Aziz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Maktoum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Al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Shareefi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,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Generaldirektor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der Schutz- und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Sicherheitsdienste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im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Innenministerium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,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sowie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weitere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Generaldirektoren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und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Angestellte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des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Innenministeriums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und der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Streitkräfte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, Leiter und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Mitglieder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von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Delegationen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der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teilnehmenden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Staaten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und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Angehörige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des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diplomatischen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Korps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.</w:t>
      </w:r>
    </w:p>
    <w:p w:rsidR="00502DA9" w:rsidRPr="00502DA9" w:rsidRDefault="00502DA9" w:rsidP="00502DA9">
      <w:pPr>
        <w:shd w:val="clear" w:color="auto" w:fill="FEFEFE"/>
        <w:spacing w:after="36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Gemäß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dem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Szenario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mussten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die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Teilnehmer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auf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eine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simulierte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Sicherheitsbedrohung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in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einem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fiktiven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Land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reagieren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.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Sie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folgten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dabei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einer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Reihe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von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Vorgehen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,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Abläufen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und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Maßnahmen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zum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Informationsaustausch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zwischen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proofErr w:type="gram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allen</w:t>
      </w:r>
      <w:proofErr w:type="spellEnd"/>
      <w:proofErr w:type="gram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beteiligten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Teams und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bewiesen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im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Umgang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mit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dem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Sicherheitsereignis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hervorragende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Geschicklichkeit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und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Professionalität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.</w:t>
      </w:r>
    </w:p>
    <w:p w:rsidR="00502DA9" w:rsidRPr="00502DA9" w:rsidRDefault="00502DA9" w:rsidP="00502DA9">
      <w:pPr>
        <w:shd w:val="clear" w:color="auto" w:fill="FEFEFE"/>
        <w:spacing w:after="36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Die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Übung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unterstreicht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die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Bedeutung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des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gemeinsamen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Handelns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sowie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der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globalen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Abstimmung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im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Kampf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gegen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grenzüberschreitende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Kriminalität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und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sie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wird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den ISA-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Mitgliedsstaaten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die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Gelegenheit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geben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, die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wichtigsten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gesammelten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Erfahrungen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zu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analysieren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, um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daraus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die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besten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Sicherheits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- und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Überwachungsmaßnahmen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abzuleiten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und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einzusetzen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.</w:t>
      </w:r>
    </w:p>
    <w:p w:rsidR="00502DA9" w:rsidRPr="00502DA9" w:rsidRDefault="00502DA9" w:rsidP="00502DA9">
      <w:pPr>
        <w:shd w:val="clear" w:color="auto" w:fill="FEFEFE"/>
        <w:spacing w:after="36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502DA9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lastRenderedPageBreak/>
        <w:t>*</w:t>
      </w:r>
      <w:proofErr w:type="spellStart"/>
      <w:r w:rsidRPr="00502DA9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Quelle</w:t>
      </w:r>
      <w:proofErr w:type="spellEnd"/>
      <w:r w:rsidRPr="00502DA9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: </w:t>
      </w:r>
      <w:proofErr w:type="spellStart"/>
      <w:r w:rsidRPr="00502DA9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fldChar w:fldCharType="begin"/>
      </w:r>
      <w:r w:rsidRPr="00502DA9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instrText xml:space="preserve"> HYPERLINK "https://cts.businesswire.com/ct/CT?id=smartlink&amp;url=https%3A%2F%2Fwww.aetoswire.com%2Fnews%2F9060%2Fen&amp;esheet=52008301&amp;lan=de-DE&amp;anchor=AETOSWire&amp;index=1&amp;md5=7cb641ba15950e1ac2580c11532b6737" </w:instrText>
      </w:r>
      <w:r w:rsidRPr="00502DA9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fldChar w:fldCharType="separate"/>
      </w:r>
      <w:r w:rsidRPr="00502DA9">
        <w:rPr>
          <w:rFonts w:ascii="Helvetica" w:eastAsia="Times New Roman" w:hAnsi="Helvetica" w:cs="Helvetica"/>
          <w:b/>
          <w:bCs/>
          <w:color w:val="79A2BD"/>
          <w:sz w:val="21"/>
          <w:szCs w:val="21"/>
          <w:u w:val="single"/>
        </w:rPr>
        <w:t>AETOSWire</w:t>
      </w:r>
      <w:proofErr w:type="spellEnd"/>
      <w:r w:rsidRPr="00502DA9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fldChar w:fldCharType="end"/>
      </w:r>
    </w:p>
    <w:p w:rsidR="00502DA9" w:rsidRPr="00502DA9" w:rsidRDefault="00502DA9" w:rsidP="00502DA9">
      <w:pPr>
        <w:shd w:val="clear" w:color="auto" w:fill="FEFEFE"/>
        <w:spacing w:after="36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Die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Ausgangssprache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, in der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der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Originaltext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veröffentlicht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wird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, </w:t>
      </w:r>
      <w:proofErr w:type="spellStart"/>
      <w:proofErr w:type="gram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ist</w:t>
      </w:r>
      <w:proofErr w:type="spellEnd"/>
      <w:proofErr w:type="gram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die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offizielle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und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autorisierte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Version.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Übersetzungen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werden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zur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besseren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Verständigung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mitgeliefert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.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Nur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die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Sprachversion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, die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im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Original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veröffentlicht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wurde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, </w:t>
      </w:r>
      <w:proofErr w:type="spellStart"/>
      <w:proofErr w:type="gram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ist</w:t>
      </w:r>
      <w:proofErr w:type="spellEnd"/>
      <w:proofErr w:type="gram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rechtsgültig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.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Gleichen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Sie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deshalb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Übersetzungen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mit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der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originalen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Sprachversion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der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Veröffentlichung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ab.</w:t>
      </w:r>
    </w:p>
    <w:p w:rsidR="00502DA9" w:rsidRPr="00502DA9" w:rsidRDefault="00502DA9" w:rsidP="00502DA9">
      <w:pPr>
        <w:shd w:val="clear" w:color="auto" w:fill="FEFEFE"/>
        <w:spacing w:after="0" w:line="280" w:lineRule="atLeast"/>
        <w:outlineLvl w:val="1"/>
        <w:rPr>
          <w:rFonts w:ascii="Helvetica" w:eastAsia="Times New Roman" w:hAnsi="Helvetica" w:cs="Helvetica"/>
          <w:color w:val="9ECC38"/>
          <w:sz w:val="27"/>
          <w:szCs w:val="27"/>
        </w:rPr>
      </w:pPr>
      <w:r w:rsidRPr="00502DA9">
        <w:rPr>
          <w:rFonts w:ascii="Helvetica" w:eastAsia="Times New Roman" w:hAnsi="Helvetica" w:cs="Helvetica"/>
          <w:color w:val="9ECC38"/>
          <w:sz w:val="27"/>
          <w:szCs w:val="27"/>
        </w:rPr>
        <w:t>Contacts</w:t>
      </w:r>
    </w:p>
    <w:p w:rsidR="00502DA9" w:rsidRPr="00502DA9" w:rsidRDefault="00502DA9" w:rsidP="00502DA9">
      <w:pPr>
        <w:shd w:val="clear" w:color="auto" w:fill="FEFEFE"/>
        <w:spacing w:after="36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502DA9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The International Security Alliance </w:t>
      </w:r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br/>
      </w:r>
      <w:proofErr w:type="spellStart"/>
      <w:r w:rsidRPr="00502DA9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Raed</w:t>
      </w:r>
      <w:proofErr w:type="spellEnd"/>
      <w:r w:rsidRPr="00502DA9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 xml:space="preserve"> Al </w:t>
      </w:r>
      <w:proofErr w:type="spellStart"/>
      <w:r w:rsidRPr="00502DA9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Ajlouni</w:t>
      </w:r>
      <w:proofErr w:type="spellEnd"/>
      <w:r w:rsidRPr="00502DA9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, </w:t>
      </w:r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+971 504702790 </w:t>
      </w:r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br/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oder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 </w:t>
      </w:r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br/>
      </w:r>
      <w:r w:rsidRPr="00502DA9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 xml:space="preserve">Amanda </w:t>
      </w:r>
      <w:proofErr w:type="spellStart"/>
      <w:r w:rsidRPr="00502DA9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Ayass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, +971 567225338 </w:t>
      </w:r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br/>
      </w:r>
      <w:hyperlink r:id="rId7" w:history="1">
        <w:r w:rsidRPr="00502DA9">
          <w:rPr>
            <w:rFonts w:ascii="Helvetica" w:eastAsia="Times New Roman" w:hAnsi="Helvetica" w:cs="Helvetica"/>
            <w:color w:val="79A2BD"/>
            <w:sz w:val="21"/>
            <w:szCs w:val="21"/>
            <w:u w:val="single"/>
          </w:rPr>
          <w:t>amanda@securitymedia.ae </w:t>
        </w:r>
      </w:hyperlink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br/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Folgen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Sie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uns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auf: </w:t>
      </w:r>
      <w:hyperlink r:id="rId8" w:history="1">
        <w:r w:rsidRPr="00502DA9">
          <w:rPr>
            <w:rFonts w:ascii="Helvetica" w:eastAsia="Times New Roman" w:hAnsi="Helvetica" w:cs="Helvetica"/>
            <w:color w:val="79A2BD"/>
            <w:sz w:val="21"/>
            <w:szCs w:val="21"/>
            <w:u w:val="single"/>
          </w:rPr>
          <w:t>Twitter</w:t>
        </w:r>
      </w:hyperlink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 | </w:t>
      </w:r>
      <w:hyperlink r:id="rId9" w:history="1">
        <w:r w:rsidRPr="00502DA9">
          <w:rPr>
            <w:rFonts w:ascii="Helvetica" w:eastAsia="Times New Roman" w:hAnsi="Helvetica" w:cs="Helvetica"/>
            <w:color w:val="79A2BD"/>
            <w:sz w:val="21"/>
            <w:szCs w:val="21"/>
            <w:u w:val="single"/>
          </w:rPr>
          <w:t>Facebook</w:t>
        </w:r>
      </w:hyperlink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 | </w:t>
      </w:r>
      <w:hyperlink r:id="rId10" w:history="1">
        <w:r w:rsidRPr="00502DA9">
          <w:rPr>
            <w:rFonts w:ascii="Helvetica" w:eastAsia="Times New Roman" w:hAnsi="Helvetica" w:cs="Helvetica"/>
            <w:color w:val="79A2BD"/>
            <w:sz w:val="21"/>
            <w:szCs w:val="21"/>
            <w:u w:val="single"/>
          </w:rPr>
          <w:t>YouTube</w:t>
        </w:r>
      </w:hyperlink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 | </w:t>
      </w:r>
      <w:hyperlink r:id="rId11" w:history="1">
        <w:r w:rsidRPr="00502DA9">
          <w:rPr>
            <w:rFonts w:ascii="Helvetica" w:eastAsia="Times New Roman" w:hAnsi="Helvetica" w:cs="Helvetica"/>
            <w:color w:val="79A2BD"/>
            <w:sz w:val="21"/>
            <w:szCs w:val="21"/>
            <w:u w:val="single"/>
          </w:rPr>
          <w:t>Instagram</w:t>
        </w:r>
      </w:hyperlink>
    </w:p>
    <w:p w:rsidR="00502DA9" w:rsidRPr="00502DA9" w:rsidRDefault="00502DA9" w:rsidP="00502DA9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</w:p>
    <w:p w:rsidR="00502DA9" w:rsidRPr="00502DA9" w:rsidRDefault="00502DA9" w:rsidP="00502DA9">
      <w:pPr>
        <w:shd w:val="clear" w:color="auto" w:fill="FEFEFE"/>
        <w:spacing w:after="36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Source: UAE Ministry of Interior</w:t>
      </w:r>
    </w:p>
    <w:p w:rsidR="00502DA9" w:rsidRPr="00502DA9" w:rsidRDefault="00502DA9" w:rsidP="00502DA9">
      <w:pPr>
        <w:pBdr>
          <w:top w:val="single" w:sz="6" w:space="2" w:color="CCCCCC"/>
        </w:pBdr>
        <w:shd w:val="clear" w:color="auto" w:fill="FEFEFE"/>
        <w:spacing w:before="504" w:after="84" w:line="280" w:lineRule="atLeast"/>
        <w:outlineLvl w:val="1"/>
        <w:rPr>
          <w:rFonts w:ascii="Helvetica" w:eastAsia="Times New Roman" w:hAnsi="Helvetica" w:cs="Helvetica"/>
          <w:color w:val="9ECC38"/>
          <w:sz w:val="29"/>
          <w:szCs w:val="29"/>
        </w:rPr>
      </w:pPr>
      <w:r w:rsidRPr="00502DA9">
        <w:rPr>
          <w:rFonts w:ascii="Helvetica" w:eastAsia="Times New Roman" w:hAnsi="Helvetica" w:cs="Helvetica"/>
          <w:color w:val="9ECC38"/>
          <w:sz w:val="29"/>
          <w:szCs w:val="29"/>
        </w:rPr>
        <w:t>Multimedia</w:t>
      </w:r>
    </w:p>
    <w:p w:rsidR="00502DA9" w:rsidRPr="00502DA9" w:rsidRDefault="00502DA9" w:rsidP="00502DA9">
      <w:pPr>
        <w:shd w:val="clear" w:color="auto" w:fill="FEFEFE"/>
        <w:spacing w:after="0" w:line="240" w:lineRule="auto"/>
        <w:jc w:val="center"/>
        <w:textAlignment w:val="center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502DA9">
        <w:rPr>
          <w:rFonts w:ascii="Helvetica" w:eastAsia="Times New Roman" w:hAnsi="Helvetica" w:cs="Helvetica"/>
          <w:noProof/>
          <w:color w:val="79A2BD"/>
          <w:sz w:val="21"/>
          <w:szCs w:val="21"/>
        </w:rPr>
        <w:drawing>
          <wp:inline distT="0" distB="0" distL="0" distR="0">
            <wp:extent cx="1371600" cy="771525"/>
            <wp:effectExtent l="0" t="0" r="0" b="9525"/>
            <wp:docPr id="7" name="Picture 7" descr=" 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DA9" w:rsidRPr="00502DA9" w:rsidRDefault="00502DA9" w:rsidP="00502DA9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666666"/>
          <w:sz w:val="21"/>
          <w:szCs w:val="21"/>
        </w:rPr>
      </w:pPr>
      <w:hyperlink r:id="rId14" w:history="1">
        <w:r w:rsidRPr="00502DA9">
          <w:rPr>
            <w:rFonts w:ascii="Helvetica" w:eastAsia="Times New Roman" w:hAnsi="Helvetica" w:cs="Helvetica"/>
            <w:noProof/>
            <w:color w:val="79A2BD"/>
            <w:sz w:val="21"/>
            <w:szCs w:val="21"/>
          </w:rPr>
          <w:drawing>
            <wp:inline distT="0" distB="0" distL="0" distR="0">
              <wp:extent cx="152400" cy="152400"/>
              <wp:effectExtent l="0" t="0" r="0" b="0"/>
              <wp:docPr id="6" name="Picture 6" descr=" 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 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502DA9">
          <w:rPr>
            <w:rFonts w:ascii="Helvetica" w:eastAsia="Times New Roman" w:hAnsi="Helvetica" w:cs="Helvetica"/>
            <w:color w:val="79A2BD"/>
            <w:sz w:val="21"/>
            <w:szCs w:val="21"/>
            <w:u w:val="single"/>
          </w:rPr>
          <w:t> </w:t>
        </w:r>
      </w:hyperlink>
      <w:hyperlink r:id="rId16" w:history="1">
        <w:r w:rsidRPr="00502DA9">
          <w:rPr>
            <w:rFonts w:ascii="Helvetica" w:eastAsia="Times New Roman" w:hAnsi="Helvetica" w:cs="Helvetica"/>
            <w:color w:val="79A2BD"/>
            <w:sz w:val="21"/>
            <w:szCs w:val="21"/>
            <w:u w:val="single"/>
          </w:rPr>
          <w:t>Video</w:t>
        </w:r>
      </w:hyperlink>
    </w:p>
    <w:p w:rsidR="00502DA9" w:rsidRPr="00502DA9" w:rsidRDefault="00502DA9" w:rsidP="00502DA9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Saif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bin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Zayed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Attends the Conclusion of ISALEX19 Exercise (Video: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AETOSWire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)</w:t>
      </w:r>
    </w:p>
    <w:p w:rsidR="00502DA9" w:rsidRPr="00502DA9" w:rsidRDefault="00502DA9" w:rsidP="00502DA9">
      <w:pPr>
        <w:shd w:val="clear" w:color="auto" w:fill="FEFEFE"/>
        <w:spacing w:after="0" w:line="240" w:lineRule="auto"/>
        <w:jc w:val="center"/>
        <w:textAlignment w:val="center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502DA9">
        <w:rPr>
          <w:rFonts w:ascii="Helvetica" w:eastAsia="Times New Roman" w:hAnsi="Helvetica" w:cs="Helvetica"/>
          <w:noProof/>
          <w:color w:val="79A2BD"/>
          <w:sz w:val="21"/>
          <w:szCs w:val="21"/>
        </w:rPr>
        <w:drawing>
          <wp:inline distT="0" distB="0" distL="0" distR="0">
            <wp:extent cx="1371600" cy="800100"/>
            <wp:effectExtent l="0" t="0" r="0" b="0"/>
            <wp:docPr id="5" name="Picture 5" descr=" 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DA9" w:rsidRPr="00502DA9" w:rsidRDefault="00502DA9" w:rsidP="00502DA9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666666"/>
          <w:sz w:val="21"/>
          <w:szCs w:val="21"/>
        </w:rPr>
      </w:pPr>
      <w:hyperlink r:id="rId19" w:history="1">
        <w:r w:rsidRPr="00502DA9">
          <w:rPr>
            <w:rFonts w:ascii="Helvetica" w:eastAsia="Times New Roman" w:hAnsi="Helvetica" w:cs="Helvetica"/>
            <w:noProof/>
            <w:color w:val="79A2BD"/>
            <w:sz w:val="21"/>
            <w:szCs w:val="21"/>
          </w:rPr>
          <w:drawing>
            <wp:inline distT="0" distB="0" distL="0" distR="0">
              <wp:extent cx="152400" cy="152400"/>
              <wp:effectExtent l="0" t="0" r="0" b="0"/>
              <wp:docPr id="4" name="Picture 4" descr=" ">
                <a:hlinkClick xmlns:a="http://schemas.openxmlformats.org/drawingml/2006/main" r:id="rId1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 ">
                        <a:hlinkClick r:id="rId1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502DA9">
          <w:rPr>
            <w:rFonts w:ascii="Helvetica" w:eastAsia="Times New Roman" w:hAnsi="Helvetica" w:cs="Helvetica"/>
            <w:color w:val="79A2BD"/>
            <w:sz w:val="21"/>
            <w:szCs w:val="21"/>
            <w:u w:val="single"/>
          </w:rPr>
          <w:t> </w:t>
        </w:r>
      </w:hyperlink>
      <w:hyperlink r:id="rId21" w:history="1">
        <w:r w:rsidRPr="00502DA9">
          <w:rPr>
            <w:rFonts w:ascii="Helvetica" w:eastAsia="Times New Roman" w:hAnsi="Helvetica" w:cs="Helvetica"/>
            <w:color w:val="79A2BD"/>
            <w:sz w:val="21"/>
            <w:szCs w:val="21"/>
            <w:u w:val="single"/>
          </w:rPr>
          <w:t>Photo</w:t>
        </w:r>
      </w:hyperlink>
    </w:p>
    <w:p w:rsidR="00502DA9" w:rsidRPr="00502DA9" w:rsidRDefault="00502DA9" w:rsidP="00502DA9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HH Sheikh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Saif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bin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Zayed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Al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Nahyan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 xml:space="preserve"> in a group photo with ISALEX19 participants (Photo: </w:t>
      </w:r>
      <w:proofErr w:type="spellStart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AETOSWire</w:t>
      </w:r>
      <w:proofErr w:type="spellEnd"/>
      <w:r w:rsidRPr="00502DA9">
        <w:rPr>
          <w:rFonts w:ascii="Helvetica" w:eastAsia="Times New Roman" w:hAnsi="Helvetica" w:cs="Helvetica"/>
          <w:color w:val="444444"/>
          <w:sz w:val="21"/>
          <w:szCs w:val="21"/>
        </w:rPr>
        <w:t>)</w:t>
      </w:r>
    </w:p>
    <w:p w:rsidR="00502DA9" w:rsidRPr="00502DA9" w:rsidRDefault="00502DA9" w:rsidP="00502DA9">
      <w:pPr>
        <w:shd w:val="clear" w:color="auto" w:fill="FEFEFE"/>
        <w:spacing w:after="0" w:line="240" w:lineRule="auto"/>
        <w:jc w:val="center"/>
        <w:textAlignment w:val="center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502DA9">
        <w:rPr>
          <w:rFonts w:ascii="Helvetica" w:eastAsia="Times New Roman" w:hAnsi="Helvetica" w:cs="Helvetica"/>
          <w:noProof/>
          <w:color w:val="79A2BD"/>
          <w:sz w:val="21"/>
          <w:szCs w:val="21"/>
        </w:rPr>
        <w:drawing>
          <wp:inline distT="0" distB="0" distL="0" distR="0">
            <wp:extent cx="1371600" cy="1219200"/>
            <wp:effectExtent l="0" t="0" r="0" b="0"/>
            <wp:docPr id="3" name="Picture 3" descr=" 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DA9" w:rsidRPr="00502DA9" w:rsidRDefault="00502DA9" w:rsidP="00502DA9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666666"/>
          <w:sz w:val="21"/>
          <w:szCs w:val="21"/>
        </w:rPr>
      </w:pPr>
      <w:hyperlink r:id="rId23" w:history="1">
        <w:r w:rsidRPr="00502DA9">
          <w:rPr>
            <w:rFonts w:ascii="Helvetica" w:eastAsia="Times New Roman" w:hAnsi="Helvetica" w:cs="Helvetica"/>
            <w:noProof/>
            <w:color w:val="79A2BD"/>
            <w:sz w:val="21"/>
            <w:szCs w:val="21"/>
          </w:rPr>
          <w:drawing>
            <wp:inline distT="0" distB="0" distL="0" distR="0">
              <wp:extent cx="152400" cy="152400"/>
              <wp:effectExtent l="0" t="0" r="0" b="0"/>
              <wp:docPr id="2" name="Picture 2" descr=" ">
                <a:hlinkClick xmlns:a="http://schemas.openxmlformats.org/drawingml/2006/main" r:id="rId2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 ">
                        <a:hlinkClick r:id="rId2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502DA9">
          <w:rPr>
            <w:rFonts w:ascii="Helvetica" w:eastAsia="Times New Roman" w:hAnsi="Helvetica" w:cs="Helvetica"/>
            <w:color w:val="79A2BD"/>
            <w:sz w:val="21"/>
            <w:szCs w:val="21"/>
            <w:u w:val="single"/>
          </w:rPr>
          <w:t> </w:t>
        </w:r>
      </w:hyperlink>
      <w:hyperlink r:id="rId25" w:history="1">
        <w:r w:rsidRPr="00502DA9">
          <w:rPr>
            <w:rFonts w:ascii="Helvetica" w:eastAsia="Times New Roman" w:hAnsi="Helvetica" w:cs="Helvetica"/>
            <w:color w:val="79A2BD"/>
            <w:sz w:val="21"/>
            <w:szCs w:val="21"/>
            <w:u w:val="single"/>
          </w:rPr>
          <w:t>Logo</w:t>
        </w:r>
      </w:hyperlink>
    </w:p>
    <w:p w:rsidR="00502DA9" w:rsidRPr="00502DA9" w:rsidRDefault="00502DA9" w:rsidP="00502DA9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502DA9">
        <w:rPr>
          <w:rFonts w:ascii="Helvetica" w:eastAsia="Times New Roman" w:hAnsi="Helvetica" w:cs="Helvetica"/>
          <w:noProof/>
          <w:color w:val="79A2BD"/>
          <w:sz w:val="21"/>
          <w:szCs w:val="21"/>
        </w:rPr>
        <w:drawing>
          <wp:inline distT="0" distB="0" distL="0" distR="0">
            <wp:extent cx="1038225" cy="352425"/>
            <wp:effectExtent l="0" t="0" r="9525" b="9525"/>
            <wp:docPr id="1" name="Picture 1" descr="Powered by Business Wire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owered by Business Wire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F52" w:rsidRDefault="00502DA9">
      <w:bookmarkStart w:id="0" w:name="_GoBack"/>
      <w:bookmarkEnd w:id="0"/>
    </w:p>
    <w:sectPr w:rsidR="008F6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DA9"/>
    <w:rsid w:val="00502DA9"/>
    <w:rsid w:val="00636E2D"/>
    <w:rsid w:val="00C5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02A726-A854-4C27-BD7C-F3BB6AFE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02D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02D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D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02DA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502DA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02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0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5012">
              <w:marLeft w:val="240"/>
              <w:marRight w:val="240"/>
              <w:marTop w:val="0"/>
              <w:marBottom w:val="5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01976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8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3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9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3233789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881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4401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7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333153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32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s.businesswire.com/ct/CT?id=smartlink&amp;url=https%3A%2F%2Ftwitter.com%2Fmoiuae&amp;esheet=52008301&amp;lan=de-DE&amp;anchor=Twitter&amp;index=2&amp;md5=ce7d8f5f46f24a8a8b8ba3e404d9b258" TargetMode="External"/><Relationship Id="rId13" Type="http://schemas.openxmlformats.org/officeDocument/2006/relationships/image" Target="media/image2.gif"/><Relationship Id="rId18" Type="http://schemas.openxmlformats.org/officeDocument/2006/relationships/image" Target="media/image4.jpeg"/><Relationship Id="rId26" Type="http://schemas.openxmlformats.org/officeDocument/2006/relationships/hyperlink" Target="http://www.businesswire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onnect.businesswire.com/bwapps/mediaserver/PublicViewMedia?mgid=731066&amp;vid=4" TargetMode="External"/><Relationship Id="rId7" Type="http://schemas.openxmlformats.org/officeDocument/2006/relationships/hyperlink" Target="mailto:amanda@securitymedia.ae" TargetMode="External"/><Relationship Id="rId12" Type="http://schemas.openxmlformats.org/officeDocument/2006/relationships/hyperlink" Target="https://connect.businesswire.com/bwapps/mediaserver/PublicViewMedia?mgid=731085&amp;vid=3" TargetMode="External"/><Relationship Id="rId17" Type="http://schemas.openxmlformats.org/officeDocument/2006/relationships/hyperlink" Target="https://connect.businesswire.com/bwapps/mediaserver/PublicViewMedia?mgid=731066&amp;vid=4" TargetMode="External"/><Relationship Id="rId25" Type="http://schemas.openxmlformats.org/officeDocument/2006/relationships/hyperlink" Target="https://connect.businesswire.com/bwapps/mediaserver/PublicViewMedia?mgid=730846&amp;vid=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onnect.businesswire.com/bwapps/mediaserver/PublicViewMedia?mgid=731085&amp;vid=3" TargetMode="External"/><Relationship Id="rId20" Type="http://schemas.openxmlformats.org/officeDocument/2006/relationships/image" Target="media/image5.gi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usinesswire.com" TargetMode="External"/><Relationship Id="rId11" Type="http://schemas.openxmlformats.org/officeDocument/2006/relationships/hyperlink" Target="https://cts.businesswire.com/ct/CT?id=smartlink&amp;url=https%3A%2F%2Fwww.instagram.com%2Fmoiuae%2F&amp;esheet=52008301&amp;lan=de-DE&amp;anchor=Instagram&amp;index=5&amp;md5=2db4157190fba932a80f0903f072b044" TargetMode="External"/><Relationship Id="rId24" Type="http://schemas.openxmlformats.org/officeDocument/2006/relationships/image" Target="media/image6.gif"/><Relationship Id="rId5" Type="http://schemas.openxmlformats.org/officeDocument/2006/relationships/image" Target="media/image1.jpeg"/><Relationship Id="rId15" Type="http://schemas.openxmlformats.org/officeDocument/2006/relationships/image" Target="media/image3.gif"/><Relationship Id="rId23" Type="http://schemas.openxmlformats.org/officeDocument/2006/relationships/hyperlink" Target="https://connect.businesswire.com/bwapps/mediaserver/PublicViewMedia?mgid=730846&amp;vid=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ts.businesswire.com/ct/CT?id=smartlink&amp;url=https%3A%2F%2Fwww.youtube.com%2Fuser%2Ftheabudhabipolice&amp;esheet=52008301&amp;lan=de-DE&amp;anchor=YouTube&amp;index=4&amp;md5=1d4d3b94c075e70c22e8d33a7b72f18d" TargetMode="External"/><Relationship Id="rId19" Type="http://schemas.openxmlformats.org/officeDocument/2006/relationships/hyperlink" Target="https://connect.businesswire.com/bwapps/mediaserver/PublicViewMedia?mgid=731066&amp;vid=4" TargetMode="External"/><Relationship Id="rId4" Type="http://schemas.openxmlformats.org/officeDocument/2006/relationships/hyperlink" Target="https://www.moi.gov.ae/ar/default.aspx" TargetMode="External"/><Relationship Id="rId9" Type="http://schemas.openxmlformats.org/officeDocument/2006/relationships/hyperlink" Target="https://cts.businesswire.com/ct/CT?id=smartlink&amp;url=https%3A%2F%2Fwww.facebook.com%2FMOIUAE%2F&amp;esheet=52008301&amp;lan=de-DE&amp;anchor=Facebook&amp;index=3&amp;md5=e67f5d7d6f33f5ba42625e1455c1ac26" TargetMode="External"/><Relationship Id="rId14" Type="http://schemas.openxmlformats.org/officeDocument/2006/relationships/hyperlink" Target="https://connect.businesswire.com/bwapps/mediaserver/PublicViewMedia?mgid=731085&amp;vid=3" TargetMode="External"/><Relationship Id="rId22" Type="http://schemas.openxmlformats.org/officeDocument/2006/relationships/hyperlink" Target="https://connect.businesswire.com/bwapps/mediaserver/PublicViewMedia?mgid=730846&amp;vid=4" TargetMode="External"/><Relationship Id="rId27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808</Words>
  <Characters>4609</Characters>
  <Application>Microsoft Office Word</Application>
  <DocSecurity>0</DocSecurity>
  <Lines>38</Lines>
  <Paragraphs>10</Paragraphs>
  <ScaleCrop>false</ScaleCrop>
  <Company/>
  <LinksUpToDate>false</LinksUpToDate>
  <CharactersWithSpaces>5407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Anberg</dc:creator>
  <cp:keywords/>
  <dc:description/>
  <cp:lastModifiedBy>Jeffrey Anberg</cp:lastModifiedBy>
  <cp:revision>1</cp:revision>
  <dcterms:created xsi:type="dcterms:W3CDTF">2019-07-03T01:11:00Z</dcterms:created>
  <dcterms:modified xsi:type="dcterms:W3CDTF">2019-07-03T01:11:00Z</dcterms:modified>
</cp:coreProperties>
</file>